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86" w:rsidRDefault="00397EBC">
      <w:r>
        <w:t>Context for P concentrations/loads in JBW</w:t>
      </w:r>
    </w:p>
    <w:p w:rsidR="00903F2A" w:rsidRDefault="00903F2A"/>
    <w:p w:rsidR="00397EBC" w:rsidRPr="00397EBC" w:rsidRDefault="00397EBC">
      <w:pPr>
        <w:rPr>
          <w:b/>
        </w:rPr>
      </w:pPr>
      <w:r w:rsidRPr="00397EBC">
        <w:rPr>
          <w:b/>
        </w:rPr>
        <w:t>P concentration in tile drainage</w:t>
      </w:r>
    </w:p>
    <w:p w:rsidR="00397EBC" w:rsidRDefault="00397EBC">
      <w:r>
        <w:t>Observed in JBW:</w:t>
      </w:r>
    </w:p>
    <w:tbl>
      <w:tblPr>
        <w:tblStyle w:val="TableGrid"/>
        <w:tblW w:w="0" w:type="auto"/>
        <w:tblLook w:val="04A0" w:firstRow="1" w:lastRow="0" w:firstColumn="1" w:lastColumn="0" w:noHBand="0" w:noVBand="1"/>
      </w:tblPr>
      <w:tblGrid>
        <w:gridCol w:w="1008"/>
        <w:gridCol w:w="1890"/>
        <w:gridCol w:w="1890"/>
      </w:tblGrid>
      <w:tr w:rsidR="0009490A" w:rsidTr="001251CC">
        <w:tc>
          <w:tcPr>
            <w:tcW w:w="1008" w:type="dxa"/>
            <w:shd w:val="clear" w:color="auto" w:fill="D9D9D9" w:themeFill="background1" w:themeFillShade="D9"/>
          </w:tcPr>
          <w:p w:rsidR="0009490A" w:rsidRDefault="0009490A" w:rsidP="001251CC"/>
        </w:tc>
        <w:tc>
          <w:tcPr>
            <w:tcW w:w="1890" w:type="dxa"/>
            <w:shd w:val="clear" w:color="auto" w:fill="D9D9D9" w:themeFill="background1" w:themeFillShade="D9"/>
          </w:tcPr>
          <w:p w:rsidR="0009490A" w:rsidRDefault="0009490A" w:rsidP="001251CC">
            <w:pPr>
              <w:jc w:val="center"/>
            </w:pPr>
            <w:r>
              <w:t>[TP] (</w:t>
            </w:r>
            <w:r w:rsidRPr="000C541C">
              <w:rPr>
                <w:rFonts w:ascii="Symbol" w:hAnsi="Symbol"/>
              </w:rPr>
              <w:t></w:t>
            </w:r>
            <w:r>
              <w:t>g/L)</w:t>
            </w:r>
          </w:p>
        </w:tc>
        <w:tc>
          <w:tcPr>
            <w:tcW w:w="1890" w:type="dxa"/>
            <w:shd w:val="clear" w:color="auto" w:fill="D9D9D9" w:themeFill="background1" w:themeFillShade="D9"/>
          </w:tcPr>
          <w:p w:rsidR="0009490A" w:rsidRDefault="0009490A" w:rsidP="001251CC">
            <w:pPr>
              <w:jc w:val="center"/>
            </w:pPr>
            <w:r>
              <w:t>[TDP] (</w:t>
            </w:r>
            <w:r w:rsidRPr="000C541C">
              <w:rPr>
                <w:rFonts w:ascii="Symbol" w:hAnsi="Symbol"/>
              </w:rPr>
              <w:t></w:t>
            </w:r>
            <w:r>
              <w:t>g/L)</w:t>
            </w:r>
          </w:p>
        </w:tc>
      </w:tr>
      <w:tr w:rsidR="0009490A" w:rsidTr="001251CC">
        <w:tc>
          <w:tcPr>
            <w:tcW w:w="1008" w:type="dxa"/>
          </w:tcPr>
          <w:p w:rsidR="0009490A" w:rsidRDefault="0009490A" w:rsidP="001251CC">
            <w:r>
              <w:t>Range</w:t>
            </w:r>
          </w:p>
        </w:tc>
        <w:tc>
          <w:tcPr>
            <w:tcW w:w="1890" w:type="dxa"/>
          </w:tcPr>
          <w:p w:rsidR="0009490A" w:rsidRDefault="0009490A" w:rsidP="001251CC">
            <w:pPr>
              <w:jc w:val="center"/>
            </w:pPr>
            <w:r>
              <w:t>18 – 6977</w:t>
            </w:r>
          </w:p>
        </w:tc>
        <w:tc>
          <w:tcPr>
            <w:tcW w:w="1890" w:type="dxa"/>
          </w:tcPr>
          <w:p w:rsidR="0009490A" w:rsidRDefault="0009490A" w:rsidP="001251CC">
            <w:pPr>
              <w:jc w:val="center"/>
            </w:pPr>
            <w:r>
              <w:t>9 – 4826</w:t>
            </w:r>
          </w:p>
        </w:tc>
      </w:tr>
      <w:tr w:rsidR="0009490A" w:rsidTr="001251CC">
        <w:tc>
          <w:tcPr>
            <w:tcW w:w="1008" w:type="dxa"/>
          </w:tcPr>
          <w:p w:rsidR="0009490A" w:rsidRDefault="0009490A" w:rsidP="001251CC">
            <w:r>
              <w:t>Median</w:t>
            </w:r>
          </w:p>
        </w:tc>
        <w:tc>
          <w:tcPr>
            <w:tcW w:w="1890" w:type="dxa"/>
          </w:tcPr>
          <w:p w:rsidR="0009490A" w:rsidRDefault="0009490A" w:rsidP="001251CC">
            <w:pPr>
              <w:jc w:val="center"/>
            </w:pPr>
            <w:r>
              <w:t>150</w:t>
            </w:r>
          </w:p>
        </w:tc>
        <w:tc>
          <w:tcPr>
            <w:tcW w:w="1890" w:type="dxa"/>
          </w:tcPr>
          <w:p w:rsidR="0009490A" w:rsidRDefault="0009490A" w:rsidP="001251CC">
            <w:pPr>
              <w:jc w:val="center"/>
            </w:pPr>
            <w:r>
              <w:t>59</w:t>
            </w:r>
          </w:p>
        </w:tc>
      </w:tr>
      <w:tr w:rsidR="0009490A" w:rsidTr="001251CC">
        <w:tc>
          <w:tcPr>
            <w:tcW w:w="1008" w:type="dxa"/>
          </w:tcPr>
          <w:p w:rsidR="0009490A" w:rsidRDefault="0009490A" w:rsidP="001251CC">
            <w:r>
              <w:t>Mean</w:t>
            </w:r>
            <w:r w:rsidRPr="000C541C">
              <w:rPr>
                <w:vertAlign w:val="superscript"/>
              </w:rPr>
              <w:t>1</w:t>
            </w:r>
          </w:p>
        </w:tc>
        <w:tc>
          <w:tcPr>
            <w:tcW w:w="1890" w:type="dxa"/>
          </w:tcPr>
          <w:p w:rsidR="0009490A" w:rsidRDefault="0009490A" w:rsidP="001251CC">
            <w:pPr>
              <w:jc w:val="center"/>
            </w:pPr>
            <w:r>
              <w:t>140</w:t>
            </w:r>
          </w:p>
        </w:tc>
        <w:tc>
          <w:tcPr>
            <w:tcW w:w="1890" w:type="dxa"/>
          </w:tcPr>
          <w:p w:rsidR="0009490A" w:rsidRDefault="0009490A" w:rsidP="001251CC">
            <w:pPr>
              <w:jc w:val="center"/>
            </w:pPr>
            <w:r>
              <w:t>63</w:t>
            </w:r>
          </w:p>
        </w:tc>
      </w:tr>
      <w:tr w:rsidR="0009490A" w:rsidTr="001251CC">
        <w:tc>
          <w:tcPr>
            <w:tcW w:w="1008" w:type="dxa"/>
          </w:tcPr>
          <w:p w:rsidR="0009490A" w:rsidRDefault="0009490A" w:rsidP="001251CC">
            <w:r>
              <w:t>S.D.</w:t>
            </w:r>
            <w:r w:rsidRPr="000C541C">
              <w:rPr>
                <w:vertAlign w:val="superscript"/>
              </w:rPr>
              <w:t>1</w:t>
            </w:r>
          </w:p>
        </w:tc>
        <w:tc>
          <w:tcPr>
            <w:tcW w:w="1890" w:type="dxa"/>
          </w:tcPr>
          <w:p w:rsidR="0009490A" w:rsidRDefault="0009490A" w:rsidP="001251CC">
            <w:pPr>
              <w:jc w:val="center"/>
            </w:pPr>
            <w:r>
              <w:t>2.4</w:t>
            </w:r>
          </w:p>
        </w:tc>
        <w:tc>
          <w:tcPr>
            <w:tcW w:w="1890" w:type="dxa"/>
          </w:tcPr>
          <w:p w:rsidR="0009490A" w:rsidRDefault="0009490A" w:rsidP="001251CC">
            <w:pPr>
              <w:jc w:val="center"/>
            </w:pPr>
            <w:r>
              <w:t>2.4</w:t>
            </w:r>
          </w:p>
        </w:tc>
      </w:tr>
      <w:tr w:rsidR="0009490A" w:rsidTr="001251CC">
        <w:tc>
          <w:tcPr>
            <w:tcW w:w="1008" w:type="dxa"/>
          </w:tcPr>
          <w:p w:rsidR="0009490A" w:rsidRDefault="0009490A" w:rsidP="001251CC">
            <w:r>
              <w:t>n</w:t>
            </w:r>
          </w:p>
        </w:tc>
        <w:tc>
          <w:tcPr>
            <w:tcW w:w="1890" w:type="dxa"/>
          </w:tcPr>
          <w:p w:rsidR="0009490A" w:rsidRDefault="0009490A" w:rsidP="001251CC">
            <w:pPr>
              <w:jc w:val="center"/>
            </w:pPr>
            <w:r>
              <w:t>156</w:t>
            </w:r>
          </w:p>
        </w:tc>
        <w:tc>
          <w:tcPr>
            <w:tcW w:w="1890" w:type="dxa"/>
          </w:tcPr>
          <w:p w:rsidR="0009490A" w:rsidRDefault="0009490A" w:rsidP="001251CC">
            <w:pPr>
              <w:jc w:val="center"/>
            </w:pPr>
            <w:r>
              <w:t>156</w:t>
            </w:r>
          </w:p>
        </w:tc>
      </w:tr>
    </w:tbl>
    <w:p w:rsidR="00397EBC" w:rsidRDefault="00397EBC"/>
    <w:p w:rsidR="00397EBC" w:rsidRDefault="00397EBC"/>
    <w:p w:rsidR="00397EBC" w:rsidRDefault="00397EBC">
      <w:r w:rsidRPr="001456F6">
        <w:rPr>
          <w:highlight w:val="yellow"/>
        </w:rPr>
        <w:t>Refer to 2016 “Literature Review: Tile Drainage and Phosphorus Losses from Agricultural Land” Table 3, pp. 22-24</w:t>
      </w:r>
    </w:p>
    <w:p w:rsidR="00397EBC" w:rsidRDefault="00397EBC"/>
    <w:p w:rsidR="0009490A" w:rsidRDefault="0009490A" w:rsidP="0009490A">
      <w:r w:rsidRPr="00397EBC">
        <w:t xml:space="preserve">Phosphorus concentrations in JBW tile drainage were generally in the range reported in tile drainage from similar land uses in the </w:t>
      </w:r>
      <w:r w:rsidR="001456F6">
        <w:t xml:space="preserve">LCB </w:t>
      </w:r>
      <w:r w:rsidRPr="00397EBC">
        <w:t xml:space="preserve">region and elsewhere (SEI 2016). </w:t>
      </w:r>
      <w:r>
        <w:t xml:space="preserve"> </w:t>
      </w:r>
      <w:r>
        <w:t>From studies that examined seasona</w:t>
      </w:r>
      <w:r w:rsidR="001456F6">
        <w:t>l or multi-event tile drainage</w:t>
      </w:r>
      <w:r w:rsidRPr="00397EBC">
        <w:t xml:space="preserve">, Benoit (1973) reported all tile drainage samples </w:t>
      </w:r>
      <w:r>
        <w:t xml:space="preserve">from corn silage and hay plots </w:t>
      </w:r>
      <w:r w:rsidR="001456F6">
        <w:t>i</w:t>
      </w:r>
      <w:r w:rsidR="001456F6" w:rsidRPr="00397EBC">
        <w:t>n Franklin, VT</w:t>
      </w:r>
      <w:r w:rsidR="001456F6" w:rsidRPr="00397EBC">
        <w:t xml:space="preserve"> </w:t>
      </w:r>
      <w:r w:rsidRPr="00397EBC">
        <w:t xml:space="preserve">contained </w:t>
      </w:r>
      <w:proofErr w:type="gramStart"/>
      <w:r w:rsidRPr="00397EBC">
        <w:t xml:space="preserve">less than </w:t>
      </w:r>
      <w:r>
        <w:t>20</w:t>
      </w:r>
      <w:r w:rsidRPr="00397EBC">
        <w:t xml:space="preserve"> </w:t>
      </w:r>
      <w:r w:rsidRPr="00397EBC">
        <w:rPr>
          <w:rFonts w:ascii="Symbol" w:hAnsi="Symbol"/>
        </w:rPr>
        <w:t></w:t>
      </w:r>
      <w:r w:rsidRPr="00397EBC">
        <w:t>g/L TP, the detection limit</w:t>
      </w:r>
      <w:proofErr w:type="gramEnd"/>
      <w:r w:rsidRPr="00397EBC">
        <w:t>. More recently, Young (2015) reported</w:t>
      </w:r>
      <w:r>
        <w:t xml:space="preserve"> TP concentrations of 23 – </w:t>
      </w:r>
      <w:r w:rsidRPr="00397EBC">
        <w:t xml:space="preserve">175 </w:t>
      </w:r>
      <w:r w:rsidRPr="00397EBC">
        <w:rPr>
          <w:rFonts w:ascii="Symbol" w:hAnsi="Symbol"/>
        </w:rPr>
        <w:t></w:t>
      </w:r>
      <w:r w:rsidRPr="00397EBC">
        <w:t xml:space="preserve">g/L </w:t>
      </w:r>
      <w:r>
        <w:t xml:space="preserve">(mean </w:t>
      </w:r>
      <w:r w:rsidRPr="00397EBC">
        <w:t xml:space="preserve">98 </w:t>
      </w:r>
      <w:r w:rsidRPr="00397EBC">
        <w:rPr>
          <w:rFonts w:ascii="Symbol" w:hAnsi="Symbol"/>
        </w:rPr>
        <w:t></w:t>
      </w:r>
      <w:r w:rsidRPr="00397EBC">
        <w:t>g/L</w:t>
      </w:r>
      <w:r>
        <w:t xml:space="preserve">) and SRP concentrations of 9 – </w:t>
      </w:r>
      <w:r w:rsidRPr="00397EBC">
        <w:t xml:space="preserve">41 </w:t>
      </w:r>
      <w:r w:rsidRPr="00397EBC">
        <w:rPr>
          <w:rFonts w:ascii="Symbol" w:hAnsi="Symbol"/>
        </w:rPr>
        <w:t></w:t>
      </w:r>
      <w:r w:rsidRPr="00397EBC">
        <w:t xml:space="preserve">g/L </w:t>
      </w:r>
      <w:r>
        <w:t xml:space="preserve">(mean </w:t>
      </w:r>
      <w:r w:rsidRPr="00397EBC">
        <w:t xml:space="preserve">11 </w:t>
      </w:r>
      <w:r w:rsidRPr="00397EBC">
        <w:rPr>
          <w:rFonts w:ascii="Symbol" w:hAnsi="Symbol"/>
        </w:rPr>
        <w:t></w:t>
      </w:r>
      <w:r w:rsidRPr="00397EBC">
        <w:t>g/L)</w:t>
      </w:r>
      <w:r w:rsidR="001456F6">
        <w:t xml:space="preserve"> fields on five farms in Clinton and St. Lawrence Counties, NY</w:t>
      </w:r>
      <w:r w:rsidRPr="00397EBC">
        <w:t xml:space="preserve">. In the same </w:t>
      </w:r>
      <w:r w:rsidR="001456F6">
        <w:t>region</w:t>
      </w:r>
      <w:r w:rsidRPr="00397EBC">
        <w:t xml:space="preserve">, </w:t>
      </w:r>
      <w:proofErr w:type="spellStart"/>
      <w:r w:rsidRPr="00397EBC">
        <w:t>Klaiber</w:t>
      </w:r>
      <w:proofErr w:type="spellEnd"/>
      <w:r w:rsidRPr="00397EBC">
        <w:t xml:space="preserve"> (2015) reported </w:t>
      </w:r>
      <w:r>
        <w:t>m</w:t>
      </w:r>
      <w:r w:rsidRPr="00397EBC">
        <w:t>ean TP concen</w:t>
      </w:r>
      <w:r>
        <w:t xml:space="preserve">tration in tile drainage </w:t>
      </w:r>
      <w:r>
        <w:t xml:space="preserve">of </w:t>
      </w:r>
      <w:r w:rsidRPr="00397EBC">
        <w:t xml:space="preserve">29 </w:t>
      </w:r>
      <w:r w:rsidRPr="00397EBC">
        <w:rPr>
          <w:rFonts w:ascii="Symbol" w:hAnsi="Symbol"/>
        </w:rPr>
        <w:t></w:t>
      </w:r>
      <w:r>
        <w:t>g/L</w:t>
      </w:r>
      <w:r w:rsidRPr="00397EBC">
        <w:t>; mean SRP concen</w:t>
      </w:r>
      <w:r>
        <w:t xml:space="preserve">tration </w:t>
      </w:r>
      <w:r>
        <w:t>of</w:t>
      </w:r>
      <w:r>
        <w:t xml:space="preserve"> </w:t>
      </w:r>
      <w:r w:rsidRPr="00397EBC">
        <w:t xml:space="preserve">12 </w:t>
      </w:r>
      <w:r w:rsidRPr="00397EBC">
        <w:rPr>
          <w:rFonts w:ascii="Symbol" w:hAnsi="Symbol"/>
        </w:rPr>
        <w:t></w:t>
      </w:r>
      <w:r w:rsidRPr="00397EBC">
        <w:t>g/L</w:t>
      </w:r>
      <w:r w:rsidRPr="0009490A">
        <w:t xml:space="preserve"> </w:t>
      </w:r>
      <w:r w:rsidRPr="00397EBC">
        <w:t>in tile dra</w:t>
      </w:r>
      <w:r w:rsidR="001456F6">
        <w:t>inage from 7 events over a year</w:t>
      </w:r>
      <w:r>
        <w:t xml:space="preserve">. Note that all these data were reported from seasonal or multi-event data, not from samples </w:t>
      </w:r>
      <w:r>
        <w:t>collected throughout the year.</w:t>
      </w:r>
      <w:r w:rsidR="001456F6">
        <w:t xml:space="preserve"> Given the tremendous variability observed among individual samples of tile </w:t>
      </w:r>
      <w:proofErr w:type="spellStart"/>
      <w:r w:rsidR="001456F6">
        <w:t>drainflow</w:t>
      </w:r>
      <w:proofErr w:type="spellEnd"/>
      <w:r w:rsidR="001456F6">
        <w:t>, it</w:t>
      </w:r>
      <w:r>
        <w:t xml:space="preserve"> is more appropriate to compare data reported from annual studies with JBW data (see table below).  </w:t>
      </w:r>
    </w:p>
    <w:p w:rsidR="0009490A" w:rsidRDefault="0009490A"/>
    <w:p w:rsidR="00536735" w:rsidRDefault="0009490A" w:rsidP="00691592">
      <w:r>
        <w:t xml:space="preserve">Selected annual P concentrations observed in NY and Quebec.  Single values represent means; otherwise range is reported. Note that SRP is not equivalent to TDP measured in </w:t>
      </w:r>
      <w:r w:rsidR="00DC6C46">
        <w:t>JBW</w:t>
      </w:r>
      <w:r>
        <w:t>.</w:t>
      </w:r>
    </w:p>
    <w:tbl>
      <w:tblPr>
        <w:tblStyle w:val="TableGrid"/>
        <w:tblW w:w="0" w:type="auto"/>
        <w:tblInd w:w="108" w:type="dxa"/>
        <w:tblLook w:val="04A0" w:firstRow="1" w:lastRow="0" w:firstColumn="1" w:lastColumn="0" w:noHBand="0" w:noVBand="1"/>
      </w:tblPr>
      <w:tblGrid>
        <w:gridCol w:w="1070"/>
        <w:gridCol w:w="2080"/>
        <w:gridCol w:w="1530"/>
        <w:gridCol w:w="1350"/>
        <w:gridCol w:w="3330"/>
      </w:tblGrid>
      <w:tr w:rsidR="002D1E31" w:rsidTr="001456F6">
        <w:tc>
          <w:tcPr>
            <w:tcW w:w="1070" w:type="dxa"/>
            <w:shd w:val="clear" w:color="auto" w:fill="D9D9D9" w:themeFill="background1" w:themeFillShade="D9"/>
          </w:tcPr>
          <w:p w:rsidR="002D1E31" w:rsidRDefault="002D1E31" w:rsidP="00691592">
            <w:r>
              <w:t>Location</w:t>
            </w:r>
          </w:p>
        </w:tc>
        <w:tc>
          <w:tcPr>
            <w:tcW w:w="2080" w:type="dxa"/>
            <w:shd w:val="clear" w:color="auto" w:fill="D9D9D9" w:themeFill="background1" w:themeFillShade="D9"/>
          </w:tcPr>
          <w:p w:rsidR="002D1E31" w:rsidRDefault="002D1E31" w:rsidP="00691592">
            <w:r>
              <w:t>Land Use</w:t>
            </w:r>
          </w:p>
        </w:tc>
        <w:tc>
          <w:tcPr>
            <w:tcW w:w="1530" w:type="dxa"/>
            <w:shd w:val="clear" w:color="auto" w:fill="D9D9D9" w:themeFill="background1" w:themeFillShade="D9"/>
          </w:tcPr>
          <w:p w:rsidR="002D1E31" w:rsidRDefault="002D1E31" w:rsidP="00691592">
            <w:r>
              <w:t xml:space="preserve">[TP] </w:t>
            </w:r>
            <w:r w:rsidRPr="002D1E31">
              <w:rPr>
                <w:rFonts w:ascii="Symbol" w:hAnsi="Symbol"/>
              </w:rPr>
              <w:t></w:t>
            </w:r>
            <w:r>
              <w:t>g/L</w:t>
            </w:r>
          </w:p>
        </w:tc>
        <w:tc>
          <w:tcPr>
            <w:tcW w:w="1350" w:type="dxa"/>
            <w:shd w:val="clear" w:color="auto" w:fill="D9D9D9" w:themeFill="background1" w:themeFillShade="D9"/>
          </w:tcPr>
          <w:p w:rsidR="002D1E31" w:rsidRDefault="002D1E31" w:rsidP="00691592">
            <w:r>
              <w:t xml:space="preserve">[SRP] </w:t>
            </w:r>
            <w:r w:rsidRPr="002D1E31">
              <w:rPr>
                <w:rFonts w:ascii="Symbol" w:hAnsi="Symbol"/>
              </w:rPr>
              <w:t></w:t>
            </w:r>
            <w:r>
              <w:t>g/L</w:t>
            </w:r>
          </w:p>
        </w:tc>
        <w:tc>
          <w:tcPr>
            <w:tcW w:w="3330" w:type="dxa"/>
            <w:shd w:val="clear" w:color="auto" w:fill="D9D9D9" w:themeFill="background1" w:themeFillShade="D9"/>
          </w:tcPr>
          <w:p w:rsidR="002D1E31" w:rsidRDefault="002D1E31" w:rsidP="00691592">
            <w:r>
              <w:t>Reference</w:t>
            </w:r>
          </w:p>
        </w:tc>
      </w:tr>
      <w:tr w:rsidR="002D1E31" w:rsidTr="0009490A">
        <w:tc>
          <w:tcPr>
            <w:tcW w:w="1070" w:type="dxa"/>
          </w:tcPr>
          <w:p w:rsidR="002D1E31" w:rsidRDefault="002D1E31" w:rsidP="00691592">
            <w:r>
              <w:t>NY</w:t>
            </w:r>
          </w:p>
        </w:tc>
        <w:tc>
          <w:tcPr>
            <w:tcW w:w="2080" w:type="dxa"/>
          </w:tcPr>
          <w:p w:rsidR="002D1E31" w:rsidRDefault="002D1E31" w:rsidP="00691592">
            <w:r>
              <w:t>Corn</w:t>
            </w:r>
          </w:p>
        </w:tc>
        <w:tc>
          <w:tcPr>
            <w:tcW w:w="1530" w:type="dxa"/>
          </w:tcPr>
          <w:p w:rsidR="002D1E31" w:rsidRDefault="002D1E31" w:rsidP="0009490A">
            <w:pPr>
              <w:jc w:val="center"/>
            </w:pPr>
            <w:r>
              <w:t>110 – 9,800</w:t>
            </w:r>
          </w:p>
        </w:tc>
        <w:tc>
          <w:tcPr>
            <w:tcW w:w="1350" w:type="dxa"/>
          </w:tcPr>
          <w:p w:rsidR="002D1E31" w:rsidRDefault="002D1E31" w:rsidP="0009490A">
            <w:pPr>
              <w:jc w:val="center"/>
            </w:pPr>
          </w:p>
        </w:tc>
        <w:tc>
          <w:tcPr>
            <w:tcW w:w="3330" w:type="dxa"/>
          </w:tcPr>
          <w:p w:rsidR="002D1E31" w:rsidRDefault="002D1E31" w:rsidP="00691592">
            <w:proofErr w:type="spellStart"/>
            <w:r>
              <w:t>Goehring</w:t>
            </w:r>
            <w:proofErr w:type="spellEnd"/>
            <w:r>
              <w:t xml:space="preserve"> et al. 2001</w:t>
            </w:r>
          </w:p>
        </w:tc>
      </w:tr>
      <w:tr w:rsidR="002D1E31" w:rsidTr="0009490A">
        <w:tc>
          <w:tcPr>
            <w:tcW w:w="1070" w:type="dxa"/>
          </w:tcPr>
          <w:p w:rsidR="002D1E31" w:rsidRDefault="002D1E31" w:rsidP="00691592">
            <w:r>
              <w:t>NY</w:t>
            </w:r>
          </w:p>
        </w:tc>
        <w:tc>
          <w:tcPr>
            <w:tcW w:w="2080" w:type="dxa"/>
          </w:tcPr>
          <w:p w:rsidR="002D1E31" w:rsidRDefault="002D1E31" w:rsidP="00691592">
            <w:r>
              <w:t>Corn</w:t>
            </w:r>
          </w:p>
        </w:tc>
        <w:tc>
          <w:tcPr>
            <w:tcW w:w="1530" w:type="dxa"/>
          </w:tcPr>
          <w:p w:rsidR="002D1E31" w:rsidRDefault="002D1E31" w:rsidP="0009490A">
            <w:pPr>
              <w:jc w:val="center"/>
            </w:pPr>
          </w:p>
        </w:tc>
        <w:tc>
          <w:tcPr>
            <w:tcW w:w="1350" w:type="dxa"/>
          </w:tcPr>
          <w:p w:rsidR="002D1E31" w:rsidRDefault="002D1E31" w:rsidP="0009490A">
            <w:pPr>
              <w:jc w:val="center"/>
            </w:pPr>
            <w:r>
              <w:t>9 – 441</w:t>
            </w:r>
          </w:p>
        </w:tc>
        <w:tc>
          <w:tcPr>
            <w:tcW w:w="3330" w:type="dxa"/>
          </w:tcPr>
          <w:p w:rsidR="002D1E31" w:rsidRDefault="002D1E31" w:rsidP="00691592">
            <w:proofErr w:type="spellStart"/>
            <w:r>
              <w:t>Hergert</w:t>
            </w:r>
            <w:proofErr w:type="spellEnd"/>
            <w:r>
              <w:t xml:space="preserve"> et al. 1981</w:t>
            </w:r>
          </w:p>
        </w:tc>
      </w:tr>
      <w:tr w:rsidR="002D1E31" w:rsidTr="0009490A">
        <w:tc>
          <w:tcPr>
            <w:tcW w:w="1070" w:type="dxa"/>
          </w:tcPr>
          <w:p w:rsidR="002D1E31" w:rsidRDefault="002D1E31" w:rsidP="00691592">
            <w:r>
              <w:t>Que</w:t>
            </w:r>
          </w:p>
        </w:tc>
        <w:tc>
          <w:tcPr>
            <w:tcW w:w="2080" w:type="dxa"/>
          </w:tcPr>
          <w:p w:rsidR="002D1E31" w:rsidRDefault="002D1E31" w:rsidP="00691592">
            <w:r>
              <w:t>Corn-soybeans</w:t>
            </w:r>
          </w:p>
        </w:tc>
        <w:tc>
          <w:tcPr>
            <w:tcW w:w="1530" w:type="dxa"/>
          </w:tcPr>
          <w:p w:rsidR="002D1E31" w:rsidRDefault="002D1E31" w:rsidP="0009490A">
            <w:pPr>
              <w:jc w:val="center"/>
            </w:pPr>
            <w:r>
              <w:t>10 – 130</w:t>
            </w:r>
          </w:p>
        </w:tc>
        <w:tc>
          <w:tcPr>
            <w:tcW w:w="1350" w:type="dxa"/>
          </w:tcPr>
          <w:p w:rsidR="002D1E31" w:rsidRDefault="002D1E31" w:rsidP="0009490A">
            <w:pPr>
              <w:jc w:val="center"/>
            </w:pPr>
            <w:r>
              <w:t>10 – 30</w:t>
            </w:r>
          </w:p>
        </w:tc>
        <w:tc>
          <w:tcPr>
            <w:tcW w:w="3330" w:type="dxa"/>
          </w:tcPr>
          <w:p w:rsidR="002D1E31" w:rsidRDefault="002D1E31" w:rsidP="00691592">
            <w:proofErr w:type="spellStart"/>
            <w:r>
              <w:t>Beauchemin</w:t>
            </w:r>
            <w:proofErr w:type="spellEnd"/>
            <w:r>
              <w:t xml:space="preserve"> et al. 1998</w:t>
            </w:r>
          </w:p>
        </w:tc>
      </w:tr>
      <w:tr w:rsidR="002D1E31" w:rsidTr="0009490A">
        <w:tc>
          <w:tcPr>
            <w:tcW w:w="1070" w:type="dxa"/>
          </w:tcPr>
          <w:p w:rsidR="002D1E31" w:rsidRDefault="002D1E31" w:rsidP="00691592">
            <w:r>
              <w:t>Que</w:t>
            </w:r>
          </w:p>
        </w:tc>
        <w:tc>
          <w:tcPr>
            <w:tcW w:w="2080" w:type="dxa"/>
          </w:tcPr>
          <w:p w:rsidR="002D1E31" w:rsidRDefault="002D1E31" w:rsidP="00691592"/>
        </w:tc>
        <w:tc>
          <w:tcPr>
            <w:tcW w:w="1530" w:type="dxa"/>
          </w:tcPr>
          <w:p w:rsidR="002D1E31" w:rsidRDefault="002D1E31" w:rsidP="0009490A">
            <w:pPr>
              <w:jc w:val="center"/>
            </w:pPr>
            <w:r>
              <w:t>60 – 370</w:t>
            </w:r>
          </w:p>
        </w:tc>
        <w:tc>
          <w:tcPr>
            <w:tcW w:w="1350" w:type="dxa"/>
          </w:tcPr>
          <w:p w:rsidR="002D1E31" w:rsidRDefault="002D1E31" w:rsidP="0009490A">
            <w:pPr>
              <w:jc w:val="center"/>
            </w:pPr>
          </w:p>
        </w:tc>
        <w:tc>
          <w:tcPr>
            <w:tcW w:w="3330" w:type="dxa"/>
          </w:tcPr>
          <w:p w:rsidR="002D1E31" w:rsidRDefault="002D1E31" w:rsidP="00691592">
            <w:r>
              <w:t xml:space="preserve">Enright and </w:t>
            </w:r>
            <w:proofErr w:type="spellStart"/>
            <w:r>
              <w:t>Madramootoo</w:t>
            </w:r>
            <w:proofErr w:type="spellEnd"/>
            <w:r>
              <w:t xml:space="preserve"> 2004</w:t>
            </w:r>
          </w:p>
        </w:tc>
      </w:tr>
      <w:tr w:rsidR="002D1E31" w:rsidTr="0009490A">
        <w:tc>
          <w:tcPr>
            <w:tcW w:w="1070" w:type="dxa"/>
          </w:tcPr>
          <w:p w:rsidR="002D1E31" w:rsidRDefault="002D1E31" w:rsidP="00691592">
            <w:r>
              <w:t>Que</w:t>
            </w:r>
          </w:p>
        </w:tc>
        <w:tc>
          <w:tcPr>
            <w:tcW w:w="2080" w:type="dxa"/>
          </w:tcPr>
          <w:p w:rsidR="002D1E31" w:rsidRDefault="002D1E31" w:rsidP="00691592">
            <w:r>
              <w:t>Corn</w:t>
            </w:r>
          </w:p>
        </w:tc>
        <w:tc>
          <w:tcPr>
            <w:tcW w:w="1530" w:type="dxa"/>
          </w:tcPr>
          <w:p w:rsidR="002D1E31" w:rsidRDefault="002D1E31" w:rsidP="0009490A">
            <w:pPr>
              <w:jc w:val="center"/>
            </w:pPr>
            <w:r>
              <w:t>200</w:t>
            </w:r>
          </w:p>
        </w:tc>
        <w:tc>
          <w:tcPr>
            <w:tcW w:w="1350" w:type="dxa"/>
          </w:tcPr>
          <w:p w:rsidR="002D1E31" w:rsidRDefault="002D1E31" w:rsidP="0009490A">
            <w:pPr>
              <w:jc w:val="center"/>
            </w:pPr>
            <w:r>
              <w:t>40</w:t>
            </w:r>
          </w:p>
        </w:tc>
        <w:tc>
          <w:tcPr>
            <w:tcW w:w="3330" w:type="dxa"/>
          </w:tcPr>
          <w:p w:rsidR="002D1E31" w:rsidRDefault="002D1E31" w:rsidP="00691592">
            <w:r>
              <w:t>Simard 2005</w:t>
            </w:r>
          </w:p>
        </w:tc>
      </w:tr>
      <w:tr w:rsidR="002D1E31" w:rsidTr="0009490A">
        <w:tc>
          <w:tcPr>
            <w:tcW w:w="1070" w:type="dxa"/>
          </w:tcPr>
          <w:p w:rsidR="002D1E31" w:rsidRDefault="002D1E31" w:rsidP="00691592">
            <w:r>
              <w:t>Que</w:t>
            </w:r>
          </w:p>
        </w:tc>
        <w:tc>
          <w:tcPr>
            <w:tcW w:w="2080" w:type="dxa"/>
          </w:tcPr>
          <w:p w:rsidR="002D1E31" w:rsidRDefault="002D1E31" w:rsidP="00691592">
            <w:r>
              <w:t>Corn</w:t>
            </w:r>
          </w:p>
        </w:tc>
        <w:tc>
          <w:tcPr>
            <w:tcW w:w="1530" w:type="dxa"/>
          </w:tcPr>
          <w:p w:rsidR="002D1E31" w:rsidRDefault="002D1E31" w:rsidP="0009490A">
            <w:pPr>
              <w:jc w:val="center"/>
            </w:pPr>
            <w:r>
              <w:t>11 – 53</w:t>
            </w:r>
          </w:p>
        </w:tc>
        <w:tc>
          <w:tcPr>
            <w:tcW w:w="1350" w:type="dxa"/>
          </w:tcPr>
          <w:p w:rsidR="002D1E31" w:rsidRDefault="002D1E31" w:rsidP="0009490A">
            <w:pPr>
              <w:jc w:val="center"/>
            </w:pPr>
            <w:r>
              <w:t>1 – 12</w:t>
            </w:r>
          </w:p>
        </w:tc>
        <w:tc>
          <w:tcPr>
            <w:tcW w:w="3330" w:type="dxa"/>
          </w:tcPr>
          <w:p w:rsidR="002D1E31" w:rsidRDefault="002D1E31" w:rsidP="00691592">
            <w:r>
              <w:t>Simard 2005</w:t>
            </w:r>
          </w:p>
        </w:tc>
      </w:tr>
      <w:tr w:rsidR="002D1E31" w:rsidTr="0009490A">
        <w:tc>
          <w:tcPr>
            <w:tcW w:w="1070" w:type="dxa"/>
          </w:tcPr>
          <w:p w:rsidR="002D1E31" w:rsidRDefault="002D1E31" w:rsidP="00691592">
            <w:r>
              <w:t>Que</w:t>
            </w:r>
          </w:p>
        </w:tc>
        <w:tc>
          <w:tcPr>
            <w:tcW w:w="2080" w:type="dxa"/>
          </w:tcPr>
          <w:p w:rsidR="002D1E31" w:rsidRDefault="002D1E31" w:rsidP="00691592">
            <w:r>
              <w:t>Corn, grains, grass</w:t>
            </w:r>
          </w:p>
        </w:tc>
        <w:tc>
          <w:tcPr>
            <w:tcW w:w="1530" w:type="dxa"/>
          </w:tcPr>
          <w:p w:rsidR="002D1E31" w:rsidRDefault="002D1E31" w:rsidP="0009490A">
            <w:pPr>
              <w:jc w:val="center"/>
            </w:pPr>
            <w:r>
              <w:t>&lt;1 – 2,726</w:t>
            </w:r>
          </w:p>
        </w:tc>
        <w:tc>
          <w:tcPr>
            <w:tcW w:w="1350" w:type="dxa"/>
          </w:tcPr>
          <w:p w:rsidR="002D1E31" w:rsidRDefault="002D1E31" w:rsidP="00691592"/>
        </w:tc>
        <w:tc>
          <w:tcPr>
            <w:tcW w:w="3330" w:type="dxa"/>
          </w:tcPr>
          <w:p w:rsidR="002D1E31" w:rsidRDefault="002D1E31" w:rsidP="00691592">
            <w:r>
              <w:t>Goulet et al. 2006</w:t>
            </w:r>
          </w:p>
        </w:tc>
      </w:tr>
    </w:tbl>
    <w:p w:rsidR="00536735" w:rsidRDefault="00536735" w:rsidP="00691592"/>
    <w:p w:rsidR="00DC6C46" w:rsidRDefault="00DC6C46" w:rsidP="00691592">
      <w:r>
        <w:t xml:space="preserve">TP concentrations observed in JBW tile drainage were also comparable to the range observed in Ontario (20 – 9,700 </w:t>
      </w:r>
      <w:r w:rsidRPr="002D1E31">
        <w:rPr>
          <w:rFonts w:ascii="Symbol" w:hAnsi="Symbol"/>
        </w:rPr>
        <w:t></w:t>
      </w:r>
      <w:r>
        <w:t>g/L</w:t>
      </w:r>
      <w:r>
        <w:t>)</w:t>
      </w:r>
      <w:r w:rsidR="00736934">
        <w:t xml:space="preserve">, Ohio (110 – 300 </w:t>
      </w:r>
      <w:r w:rsidR="00736934" w:rsidRPr="002D1E31">
        <w:rPr>
          <w:rFonts w:ascii="Symbol" w:hAnsi="Symbol"/>
        </w:rPr>
        <w:t></w:t>
      </w:r>
      <w:r w:rsidR="00736934">
        <w:t>g/L</w:t>
      </w:r>
      <w:r w:rsidR="00736934">
        <w:t>),</w:t>
      </w:r>
      <w:r>
        <w:t xml:space="preserve"> </w:t>
      </w:r>
      <w:r w:rsidR="00736934">
        <w:t xml:space="preserve">and in </w:t>
      </w:r>
      <w:r>
        <w:t xml:space="preserve">Wisconsin (80 – 1,780 </w:t>
      </w:r>
      <w:r w:rsidRPr="002D1E31">
        <w:rPr>
          <w:rFonts w:ascii="Symbol" w:hAnsi="Symbol"/>
        </w:rPr>
        <w:t></w:t>
      </w:r>
      <w:r>
        <w:t>g/L</w:t>
      </w:r>
      <w:r>
        <w:t>) (see Table 3, SEI 2016).</w:t>
      </w:r>
    </w:p>
    <w:p w:rsidR="00536735" w:rsidRDefault="00536735" w:rsidP="00691592"/>
    <w:p w:rsidR="00536735" w:rsidRDefault="00B36A62" w:rsidP="00691592">
      <w:r>
        <w:t xml:space="preserve">Unlike the tendency for high P concentrations in tile discharge to be associated with stormflow or other high flow periods, data from the JBW did not show widespread significant associations </w:t>
      </w:r>
      <w:r>
        <w:lastRenderedPageBreak/>
        <w:t>between high tile flow and high P concentrations (</w:t>
      </w:r>
      <w:r w:rsidRPr="00B36A62">
        <w:rPr>
          <w:highlight w:val="yellow"/>
        </w:rPr>
        <w:t>see appropriate section of report</w:t>
      </w:r>
      <w:r>
        <w:t xml:space="preserve">).  While positive flow-concentration associations were suggested in some cases (more often for TDP than for TP), relationships were generally nonsignificant, sometimes confounded by transient high concentrations such as those observed </w:t>
      </w:r>
      <w:r w:rsidR="001456F6">
        <w:t xml:space="preserve">immediately </w:t>
      </w:r>
      <w:r>
        <w:t>following manure applications.</w:t>
      </w:r>
    </w:p>
    <w:p w:rsidR="00B36A62" w:rsidRDefault="00B36A62" w:rsidP="00691592"/>
    <w:p w:rsidR="00B36A62" w:rsidRDefault="00B36A62" w:rsidP="00691592">
      <w:r>
        <w:t>Although seasonal patterns of P concentration in tile flow</w:t>
      </w:r>
      <w:r w:rsidR="001456F6">
        <w:t xml:space="preserve"> volume</w:t>
      </w:r>
      <w:r>
        <w:t xml:space="preserve"> have been reported in the literature (although inconsistently), there was no distinct seasonal pattern observed for either TP or TDP concentrations in tile drainage from JBW fields.  Although lowest concentrations tended to occur in December and highest concentrations in October, both high and low P concentrations were observed in all months over the monitoring period.</w:t>
      </w:r>
    </w:p>
    <w:p w:rsidR="00B36A62" w:rsidRDefault="00B36A62" w:rsidP="00691592"/>
    <w:p w:rsidR="001456F6" w:rsidRDefault="001456F6" w:rsidP="00691592">
      <w:r w:rsidRPr="001456F6">
        <w:t xml:space="preserve">Published research has sometimes reported significant P loss in tile </w:t>
      </w:r>
      <w:proofErr w:type="spellStart"/>
      <w:r w:rsidRPr="001456F6">
        <w:t>drainflow</w:t>
      </w:r>
      <w:proofErr w:type="spellEnd"/>
      <w:r w:rsidRPr="001456F6">
        <w:t xml:space="preserve"> associated with manure applications (SEI 2016).  For example, </w:t>
      </w:r>
      <w:r w:rsidR="00E91943">
        <w:t xml:space="preserve">in NY, </w:t>
      </w:r>
      <w:r w:rsidRPr="001456F6">
        <w:t xml:space="preserve">Scott et al. (1998) </w:t>
      </w:r>
      <w:r w:rsidRPr="001456F6">
        <w:t xml:space="preserve">reported soluble P concentrations in tile </w:t>
      </w:r>
      <w:proofErr w:type="spellStart"/>
      <w:r w:rsidRPr="001456F6">
        <w:t>drainflow</w:t>
      </w:r>
      <w:proofErr w:type="spellEnd"/>
      <w:r w:rsidRPr="001456F6">
        <w:t xml:space="preserve"> that peaked at 1,170 mg/L</w:t>
      </w:r>
      <w:r w:rsidR="00E91943">
        <w:t>. Similar patterns were observed in the JBW [</w:t>
      </w:r>
      <w:r w:rsidR="00E91943" w:rsidRPr="00E91943">
        <w:rPr>
          <w:highlight w:val="yellow"/>
        </w:rPr>
        <w:t>insert example from JBW here</w:t>
      </w:r>
      <w:r w:rsidR="00E91943">
        <w:t xml:space="preserve">].  Unfortunately, data from the JBW are insufficiently detailed to confirm literature reports of high P concentrations in </w:t>
      </w:r>
      <w:proofErr w:type="spellStart"/>
      <w:r w:rsidR="00E91943">
        <w:t>drainflow</w:t>
      </w:r>
      <w:proofErr w:type="spellEnd"/>
      <w:r w:rsidR="00E91943">
        <w:t xml:space="preserve"> associated with fertilizer applications, long-term manure applications, or soil test P levels.  </w:t>
      </w:r>
    </w:p>
    <w:p w:rsidR="00E91943" w:rsidRDefault="00E91943" w:rsidP="00691592"/>
    <w:p w:rsidR="00E91943" w:rsidRPr="001456F6" w:rsidRDefault="00E91943" w:rsidP="00691592">
      <w:r>
        <w:t xml:space="preserve">The influence of crop type and cropping activities on tile </w:t>
      </w:r>
      <w:proofErr w:type="spellStart"/>
      <w:r>
        <w:t>drainflow</w:t>
      </w:r>
      <w:proofErr w:type="spellEnd"/>
      <w:r>
        <w:t xml:space="preserve"> P concentrations has been variable based on other published research; variation in land use among the twelve monitored JBW fields was insufficient to test any correlations with crop or cropping activities, although there was some evidence that some P concentrations and areal P loads were higher from row crop land compared to </w:t>
      </w:r>
      <w:proofErr w:type="spellStart"/>
      <w:r>
        <w:t>hayland</w:t>
      </w:r>
      <w:proofErr w:type="spellEnd"/>
      <w:r>
        <w:t>.</w:t>
      </w:r>
    </w:p>
    <w:p w:rsidR="00B36A62" w:rsidRDefault="00B36A62" w:rsidP="00691592"/>
    <w:p w:rsidR="00231CF5" w:rsidRPr="00231CF5" w:rsidRDefault="00231CF5" w:rsidP="00691592">
      <w:pPr>
        <w:rPr>
          <w:b/>
        </w:rPr>
      </w:pPr>
      <w:r w:rsidRPr="00231CF5">
        <w:rPr>
          <w:b/>
        </w:rPr>
        <w:t>Tile Flow</w:t>
      </w:r>
    </w:p>
    <w:p w:rsidR="00231CF5" w:rsidRDefault="00231CF5" w:rsidP="00691592">
      <w:r>
        <w:t xml:space="preserve">Literature reports suggest that the volume of tile flow tends to follow strong seasonal patterns.  </w:t>
      </w:r>
    </w:p>
    <w:p w:rsidR="00536735" w:rsidRPr="00231CF5" w:rsidRDefault="00231CF5" w:rsidP="00691592">
      <w:r w:rsidRPr="00231CF5">
        <w:t xml:space="preserve">Although tile </w:t>
      </w:r>
      <w:proofErr w:type="spellStart"/>
      <w:r w:rsidRPr="00231CF5">
        <w:t>drainflow</w:t>
      </w:r>
      <w:proofErr w:type="spellEnd"/>
      <w:r w:rsidRPr="00231CF5">
        <w:t xml:space="preserve"> can respond to large precipitation or snowmelt events at almost any time of year, the largest drainage volumes tend to occur from fall through spring, with tile </w:t>
      </w:r>
      <w:proofErr w:type="spellStart"/>
      <w:r w:rsidRPr="00231CF5">
        <w:t>drainflow</w:t>
      </w:r>
      <w:proofErr w:type="spellEnd"/>
      <w:r w:rsidRPr="00231CF5">
        <w:t xml:space="preserve"> becoming very small or entirely absent during the summer growing season.</w:t>
      </w:r>
    </w:p>
    <w:p w:rsidR="00536735" w:rsidRDefault="00231CF5" w:rsidP="00691592">
      <w:r w:rsidRPr="00A377CF">
        <w:rPr>
          <w:noProof/>
        </w:rPr>
        <w:drawing>
          <wp:anchor distT="0" distB="0" distL="114300" distR="114300" simplePos="0" relativeHeight="251659264" behindDoc="1" locked="0" layoutInCell="1" allowOverlap="1" wp14:anchorId="6D350999" wp14:editId="26BE1BC9">
            <wp:simplePos x="0" y="0"/>
            <wp:positionH relativeFrom="column">
              <wp:posOffset>-635</wp:posOffset>
            </wp:positionH>
            <wp:positionV relativeFrom="paragraph">
              <wp:posOffset>127000</wp:posOffset>
            </wp:positionV>
            <wp:extent cx="2691130" cy="1826260"/>
            <wp:effectExtent l="0" t="0" r="0" b="2540"/>
            <wp:wrapTight wrapText="bothSides">
              <wp:wrapPolygon edited="0">
                <wp:start x="0" y="0"/>
                <wp:lineTo x="0" y="21405"/>
                <wp:lineTo x="21406" y="21405"/>
                <wp:lineTo x="2140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2691130" cy="1826260"/>
                    </a:xfrm>
                    <a:prstGeom prst="rect">
                      <a:avLst/>
                    </a:prstGeom>
                  </pic:spPr>
                </pic:pic>
              </a:graphicData>
            </a:graphic>
            <wp14:sizeRelH relativeFrom="page">
              <wp14:pctWidth>0</wp14:pctWidth>
            </wp14:sizeRelH>
            <wp14:sizeRelV relativeFrom="page">
              <wp14:pctHeight>0</wp14:pctHeight>
            </wp14:sizeRelV>
          </wp:anchor>
        </w:drawing>
      </w:r>
    </w:p>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p w:rsidR="00231CF5" w:rsidRDefault="00231CF5" w:rsidP="00691592">
      <w:r>
        <w:t xml:space="preserve">In the JBW, tile </w:t>
      </w:r>
      <w:proofErr w:type="spellStart"/>
      <w:r>
        <w:t>drainflow</w:t>
      </w:r>
      <w:proofErr w:type="spellEnd"/>
      <w:r>
        <w:t xml:space="preserve"> was lowest August-September 2017 and tended to be high May – July 2017 and January – April 2018.  Note that the monitoring period covered just one annual cycle and precipitation/snowmelt was not necessarily representative of long-term average [</w:t>
      </w:r>
      <w:r w:rsidRPr="00231CF5">
        <w:rPr>
          <w:highlight w:val="yellow"/>
        </w:rPr>
        <w:t>insert something about rainfall during monitoring period</w:t>
      </w:r>
      <w:r>
        <w:t>]</w:t>
      </w:r>
    </w:p>
    <w:p w:rsidR="00231CF5" w:rsidRDefault="00231CF5" w:rsidP="00691592"/>
    <w:p w:rsidR="00536735" w:rsidRDefault="00536735" w:rsidP="00691592"/>
    <w:p w:rsidR="00576DD6" w:rsidRPr="00397EBC" w:rsidRDefault="00576DD6" w:rsidP="00576DD6">
      <w:pPr>
        <w:rPr>
          <w:b/>
        </w:rPr>
      </w:pPr>
      <w:r w:rsidRPr="00397EBC">
        <w:rPr>
          <w:b/>
        </w:rPr>
        <w:t xml:space="preserve">P </w:t>
      </w:r>
      <w:r>
        <w:rPr>
          <w:b/>
        </w:rPr>
        <w:t>loads</w:t>
      </w:r>
      <w:r w:rsidRPr="00397EBC">
        <w:rPr>
          <w:b/>
        </w:rPr>
        <w:t xml:space="preserve"> in tile drainage</w:t>
      </w:r>
    </w:p>
    <w:p w:rsidR="00576DD6" w:rsidRDefault="00576DD6" w:rsidP="00691592">
      <w:r>
        <w:t>Observed in JBW</w:t>
      </w:r>
    </w:p>
    <w:tbl>
      <w:tblPr>
        <w:tblStyle w:val="TableGrid"/>
        <w:tblW w:w="0" w:type="auto"/>
        <w:tblInd w:w="108" w:type="dxa"/>
        <w:tblLook w:val="04A0" w:firstRow="1" w:lastRow="0" w:firstColumn="1" w:lastColumn="0" w:noHBand="0" w:noVBand="1"/>
      </w:tblPr>
      <w:tblGrid>
        <w:gridCol w:w="1440"/>
        <w:gridCol w:w="2520"/>
        <w:gridCol w:w="2700"/>
      </w:tblGrid>
      <w:tr w:rsidR="00576DD6" w:rsidTr="00576DD6">
        <w:tc>
          <w:tcPr>
            <w:tcW w:w="1440" w:type="dxa"/>
            <w:shd w:val="clear" w:color="auto" w:fill="D9D9D9" w:themeFill="background1" w:themeFillShade="D9"/>
          </w:tcPr>
          <w:p w:rsidR="00576DD6" w:rsidRDefault="00576DD6" w:rsidP="001251CC">
            <w:pPr>
              <w:rPr>
                <w:b/>
              </w:rPr>
            </w:pPr>
          </w:p>
        </w:tc>
        <w:tc>
          <w:tcPr>
            <w:tcW w:w="2520" w:type="dxa"/>
            <w:shd w:val="clear" w:color="auto" w:fill="D9D9D9" w:themeFill="background1" w:themeFillShade="D9"/>
          </w:tcPr>
          <w:p w:rsidR="00576DD6" w:rsidRDefault="00576DD6" w:rsidP="001251CC">
            <w:pPr>
              <w:rPr>
                <w:b/>
              </w:rPr>
            </w:pPr>
            <w:r>
              <w:rPr>
                <w:b/>
              </w:rPr>
              <w:t xml:space="preserve">Areal </w:t>
            </w:r>
            <w:proofErr w:type="spellStart"/>
            <w:r>
              <w:rPr>
                <w:b/>
              </w:rPr>
              <w:t>TPx</w:t>
            </w:r>
            <w:proofErr w:type="spellEnd"/>
            <w:r>
              <w:rPr>
                <w:b/>
              </w:rPr>
              <w:t xml:space="preserve"> (kg/ha/</w:t>
            </w:r>
            <w:proofErr w:type="spellStart"/>
            <w:r>
              <w:rPr>
                <w:b/>
              </w:rPr>
              <w:t>yr</w:t>
            </w:r>
            <w:proofErr w:type="spellEnd"/>
            <w:r>
              <w:rPr>
                <w:b/>
              </w:rPr>
              <w:t>)</w:t>
            </w:r>
          </w:p>
        </w:tc>
        <w:tc>
          <w:tcPr>
            <w:tcW w:w="2700" w:type="dxa"/>
            <w:shd w:val="clear" w:color="auto" w:fill="D9D9D9" w:themeFill="background1" w:themeFillShade="D9"/>
          </w:tcPr>
          <w:p w:rsidR="00576DD6" w:rsidRDefault="00576DD6" w:rsidP="001251CC">
            <w:pPr>
              <w:rPr>
                <w:b/>
              </w:rPr>
            </w:pPr>
            <w:r>
              <w:rPr>
                <w:b/>
              </w:rPr>
              <w:t xml:space="preserve">Areal </w:t>
            </w:r>
            <w:proofErr w:type="spellStart"/>
            <w:r>
              <w:rPr>
                <w:b/>
              </w:rPr>
              <w:t>TDPx</w:t>
            </w:r>
            <w:proofErr w:type="spellEnd"/>
            <w:r>
              <w:rPr>
                <w:b/>
              </w:rPr>
              <w:t xml:space="preserve"> (kg/ha/</w:t>
            </w:r>
            <w:proofErr w:type="spellStart"/>
            <w:r>
              <w:rPr>
                <w:b/>
              </w:rPr>
              <w:t>yr</w:t>
            </w:r>
            <w:proofErr w:type="spellEnd"/>
            <w:r>
              <w:rPr>
                <w:b/>
              </w:rPr>
              <w:t>)</w:t>
            </w:r>
          </w:p>
        </w:tc>
      </w:tr>
      <w:tr w:rsidR="00576DD6" w:rsidTr="001251CC">
        <w:tc>
          <w:tcPr>
            <w:tcW w:w="1440" w:type="dxa"/>
          </w:tcPr>
          <w:p w:rsidR="00576DD6" w:rsidRPr="00FD00A8" w:rsidRDefault="00576DD6" w:rsidP="001251CC">
            <w:r w:rsidRPr="00FD00A8">
              <w:t>Range</w:t>
            </w:r>
          </w:p>
        </w:tc>
        <w:tc>
          <w:tcPr>
            <w:tcW w:w="2520" w:type="dxa"/>
          </w:tcPr>
          <w:p w:rsidR="00576DD6" w:rsidRPr="00FD00A8" w:rsidRDefault="00576DD6" w:rsidP="001251CC">
            <w:pPr>
              <w:jc w:val="center"/>
            </w:pPr>
            <w:r w:rsidRPr="00FD00A8">
              <w:t>0.122 – 1.124</w:t>
            </w:r>
          </w:p>
        </w:tc>
        <w:tc>
          <w:tcPr>
            <w:tcW w:w="2700" w:type="dxa"/>
          </w:tcPr>
          <w:p w:rsidR="00576DD6" w:rsidRPr="00FD00A8" w:rsidRDefault="00576DD6" w:rsidP="001251CC">
            <w:pPr>
              <w:jc w:val="center"/>
            </w:pPr>
            <w:r>
              <w:t>0.083 – 0.556</w:t>
            </w:r>
          </w:p>
        </w:tc>
      </w:tr>
      <w:tr w:rsidR="00576DD6" w:rsidTr="001251CC">
        <w:tc>
          <w:tcPr>
            <w:tcW w:w="1440" w:type="dxa"/>
          </w:tcPr>
          <w:p w:rsidR="00576DD6" w:rsidRPr="00FD00A8" w:rsidRDefault="00576DD6" w:rsidP="001251CC">
            <w:r w:rsidRPr="00FD00A8">
              <w:t>Median</w:t>
            </w:r>
          </w:p>
        </w:tc>
        <w:tc>
          <w:tcPr>
            <w:tcW w:w="2520" w:type="dxa"/>
          </w:tcPr>
          <w:p w:rsidR="00576DD6" w:rsidRPr="00FD00A8" w:rsidRDefault="00576DD6" w:rsidP="001251CC">
            <w:pPr>
              <w:jc w:val="center"/>
            </w:pPr>
            <w:r w:rsidRPr="00FD00A8">
              <w:t>0.541</w:t>
            </w:r>
          </w:p>
        </w:tc>
        <w:tc>
          <w:tcPr>
            <w:tcW w:w="2700" w:type="dxa"/>
          </w:tcPr>
          <w:p w:rsidR="00576DD6" w:rsidRPr="00FD00A8" w:rsidRDefault="00576DD6" w:rsidP="001251CC">
            <w:pPr>
              <w:jc w:val="center"/>
            </w:pPr>
            <w:r>
              <w:t>0.199</w:t>
            </w:r>
          </w:p>
        </w:tc>
      </w:tr>
      <w:tr w:rsidR="00576DD6" w:rsidTr="001251CC">
        <w:tc>
          <w:tcPr>
            <w:tcW w:w="1440" w:type="dxa"/>
          </w:tcPr>
          <w:p w:rsidR="00576DD6" w:rsidRPr="00FD00A8" w:rsidRDefault="00576DD6" w:rsidP="001251CC">
            <w:r w:rsidRPr="00FD00A8">
              <w:t>Mean</w:t>
            </w:r>
          </w:p>
        </w:tc>
        <w:tc>
          <w:tcPr>
            <w:tcW w:w="2520" w:type="dxa"/>
          </w:tcPr>
          <w:p w:rsidR="00576DD6" w:rsidRPr="00FD00A8" w:rsidRDefault="00576DD6" w:rsidP="001251CC">
            <w:pPr>
              <w:jc w:val="center"/>
            </w:pPr>
            <w:r w:rsidRPr="00FD00A8">
              <w:t>0.555</w:t>
            </w:r>
          </w:p>
        </w:tc>
        <w:tc>
          <w:tcPr>
            <w:tcW w:w="2700" w:type="dxa"/>
          </w:tcPr>
          <w:p w:rsidR="00576DD6" w:rsidRPr="00FD00A8" w:rsidRDefault="00576DD6" w:rsidP="001251CC">
            <w:pPr>
              <w:jc w:val="center"/>
            </w:pPr>
            <w:r>
              <w:t>0.272</w:t>
            </w:r>
          </w:p>
        </w:tc>
      </w:tr>
      <w:tr w:rsidR="00576DD6" w:rsidTr="001251CC">
        <w:tc>
          <w:tcPr>
            <w:tcW w:w="1440" w:type="dxa"/>
          </w:tcPr>
          <w:p w:rsidR="00576DD6" w:rsidRPr="00FD00A8" w:rsidRDefault="00576DD6" w:rsidP="001251CC">
            <w:r w:rsidRPr="00FD00A8">
              <w:t>95% C.I.</w:t>
            </w:r>
          </w:p>
        </w:tc>
        <w:tc>
          <w:tcPr>
            <w:tcW w:w="2520" w:type="dxa"/>
          </w:tcPr>
          <w:p w:rsidR="00576DD6" w:rsidRPr="00FD00A8" w:rsidRDefault="00576DD6" w:rsidP="001251CC">
            <w:pPr>
              <w:jc w:val="center"/>
            </w:pPr>
            <w:r w:rsidRPr="00FD00A8">
              <w:t>0.368 – 0.743</w:t>
            </w:r>
          </w:p>
        </w:tc>
        <w:tc>
          <w:tcPr>
            <w:tcW w:w="2700" w:type="dxa"/>
          </w:tcPr>
          <w:p w:rsidR="00576DD6" w:rsidRPr="00FD00A8" w:rsidRDefault="00576DD6" w:rsidP="001251CC">
            <w:pPr>
              <w:jc w:val="center"/>
            </w:pPr>
            <w:r>
              <w:t>0.166 – 0.378</w:t>
            </w:r>
          </w:p>
        </w:tc>
      </w:tr>
    </w:tbl>
    <w:p w:rsidR="00576DD6" w:rsidRDefault="00576DD6" w:rsidP="00691592"/>
    <w:p w:rsidR="00536735" w:rsidRPr="00CE7318" w:rsidRDefault="00CE7318" w:rsidP="00CE7318">
      <w:pPr>
        <w:pStyle w:val="Default"/>
        <w:rPr>
          <w:rFonts w:ascii="Times New Roman" w:hAnsi="Times New Roman" w:cs="Times New Roman"/>
        </w:rPr>
      </w:pPr>
      <w:bookmarkStart w:id="0" w:name="_GoBack"/>
      <w:bookmarkEnd w:id="0"/>
      <w:r>
        <w:rPr>
          <w:rFonts w:ascii="Times New Roman" w:hAnsi="Times New Roman" w:cs="Times New Roman"/>
        </w:rPr>
        <w:t xml:space="preserve">Monitored P export in tile </w:t>
      </w:r>
      <w:proofErr w:type="spellStart"/>
      <w:r>
        <w:rPr>
          <w:rFonts w:ascii="Times New Roman" w:hAnsi="Times New Roman" w:cs="Times New Roman"/>
        </w:rPr>
        <w:t>drain</w:t>
      </w:r>
      <w:r w:rsidR="00903F2A">
        <w:rPr>
          <w:rFonts w:ascii="Times New Roman" w:hAnsi="Times New Roman" w:cs="Times New Roman"/>
        </w:rPr>
        <w:t>flow</w:t>
      </w:r>
      <w:proofErr w:type="spellEnd"/>
      <w:r>
        <w:rPr>
          <w:rFonts w:ascii="Times New Roman" w:hAnsi="Times New Roman" w:cs="Times New Roman"/>
        </w:rPr>
        <w:t xml:space="preserve"> from JBW agricultural fields was in a range comparable to that reported in the literature (SEI 2016, Table 4). </w:t>
      </w:r>
      <w:r w:rsidRPr="00CE7318">
        <w:rPr>
          <w:rFonts w:ascii="Times New Roman" w:hAnsi="Times New Roman" w:cs="Times New Roman"/>
        </w:rPr>
        <w:t xml:space="preserve"> </w:t>
      </w:r>
      <w:r>
        <w:rPr>
          <w:rFonts w:ascii="Times New Roman" w:hAnsi="Times New Roman" w:cs="Times New Roman"/>
        </w:rPr>
        <w:t>Just</w:t>
      </w:r>
      <w:r w:rsidRPr="00CE7318">
        <w:rPr>
          <w:rFonts w:ascii="Times New Roman" w:hAnsi="Times New Roman" w:cs="Times New Roman"/>
        </w:rPr>
        <w:t xml:space="preserve"> as with P concentration, the reported P loads attributed to tile </w:t>
      </w:r>
      <w:proofErr w:type="spellStart"/>
      <w:r w:rsidRPr="00CE7318">
        <w:rPr>
          <w:rFonts w:ascii="Times New Roman" w:hAnsi="Times New Roman" w:cs="Times New Roman"/>
        </w:rPr>
        <w:t>drainflow</w:t>
      </w:r>
      <w:proofErr w:type="spellEnd"/>
      <w:r w:rsidRPr="00CE7318">
        <w:rPr>
          <w:rFonts w:ascii="Times New Roman" w:hAnsi="Times New Roman" w:cs="Times New Roman"/>
        </w:rPr>
        <w:t xml:space="preserve"> have been highly variable. In New York (within the LCB), </w:t>
      </w:r>
      <w:proofErr w:type="spellStart"/>
      <w:r w:rsidRPr="00CE7318">
        <w:rPr>
          <w:rFonts w:ascii="Times New Roman" w:hAnsi="Times New Roman" w:cs="Times New Roman"/>
        </w:rPr>
        <w:t>Klaiber</w:t>
      </w:r>
      <w:proofErr w:type="spellEnd"/>
      <w:r w:rsidRPr="00CE7318">
        <w:rPr>
          <w:rFonts w:ascii="Times New Roman" w:hAnsi="Times New Roman" w:cs="Times New Roman"/>
        </w:rPr>
        <w:t xml:space="preserve"> (2015) reported TP load of 0.13 kg/ha/</w:t>
      </w:r>
      <w:proofErr w:type="spellStart"/>
      <w:r w:rsidRPr="00CE7318">
        <w:rPr>
          <w:rFonts w:ascii="Times New Roman" w:hAnsi="Times New Roman" w:cs="Times New Roman"/>
        </w:rPr>
        <w:t>yr</w:t>
      </w:r>
      <w:proofErr w:type="spellEnd"/>
      <w:r w:rsidRPr="00CE7318">
        <w:rPr>
          <w:rFonts w:ascii="Times New Roman" w:hAnsi="Times New Roman" w:cs="Times New Roman"/>
        </w:rPr>
        <w:t xml:space="preserve"> and SRP of 0.05 kg/ha/</w:t>
      </w:r>
      <w:proofErr w:type="spellStart"/>
      <w:r w:rsidRPr="00CE7318">
        <w:rPr>
          <w:rFonts w:ascii="Times New Roman" w:hAnsi="Times New Roman" w:cs="Times New Roman"/>
        </w:rPr>
        <w:t>yr</w:t>
      </w:r>
      <w:proofErr w:type="spellEnd"/>
      <w:r w:rsidRPr="00CE7318">
        <w:rPr>
          <w:rFonts w:ascii="Times New Roman" w:hAnsi="Times New Roman" w:cs="Times New Roman"/>
        </w:rPr>
        <w:t xml:space="preserve"> in tile drainage from grass plots. Miller (1979) reported TP losses of 0.28 kg/ha/</w:t>
      </w:r>
      <w:proofErr w:type="spellStart"/>
      <w:r w:rsidRPr="00CE7318">
        <w:rPr>
          <w:rFonts w:ascii="Times New Roman" w:hAnsi="Times New Roman" w:cs="Times New Roman"/>
        </w:rPr>
        <w:t>yr</w:t>
      </w:r>
      <w:proofErr w:type="spellEnd"/>
      <w:r w:rsidRPr="00CE7318">
        <w:rPr>
          <w:rFonts w:ascii="Times New Roman" w:hAnsi="Times New Roman" w:cs="Times New Roman"/>
        </w:rPr>
        <w:t xml:space="preserve"> and PO</w:t>
      </w:r>
      <w:r w:rsidRPr="00CE7318">
        <w:rPr>
          <w:rFonts w:ascii="Times New Roman" w:hAnsi="Times New Roman" w:cs="Times New Roman"/>
          <w:vertAlign w:val="subscript"/>
        </w:rPr>
        <w:t>4</w:t>
      </w:r>
      <w:r w:rsidRPr="00CE7318">
        <w:rPr>
          <w:rFonts w:ascii="Times New Roman" w:hAnsi="Times New Roman" w:cs="Times New Roman"/>
        </w:rPr>
        <w:t xml:space="preserve">-P losses </w:t>
      </w:r>
      <w:proofErr w:type="gramStart"/>
      <w:r w:rsidRPr="00CE7318">
        <w:rPr>
          <w:rFonts w:ascii="Times New Roman" w:hAnsi="Times New Roman" w:cs="Times New Roman"/>
        </w:rPr>
        <w:t>of 0.08 kg/ha/</w:t>
      </w:r>
      <w:proofErr w:type="spellStart"/>
      <w:r w:rsidRPr="00CE7318">
        <w:rPr>
          <w:rFonts w:ascii="Times New Roman" w:hAnsi="Times New Roman" w:cs="Times New Roman"/>
        </w:rPr>
        <w:t>yr</w:t>
      </w:r>
      <w:proofErr w:type="spellEnd"/>
      <w:proofErr w:type="gramEnd"/>
      <w:r w:rsidRPr="00CE7318">
        <w:rPr>
          <w:rFonts w:ascii="Times New Roman" w:hAnsi="Times New Roman" w:cs="Times New Roman"/>
        </w:rPr>
        <w:t xml:space="preserve"> from Ontario crop fields</w:t>
      </w:r>
      <w:r>
        <w:rPr>
          <w:rFonts w:ascii="Times New Roman" w:hAnsi="Times New Roman" w:cs="Times New Roman"/>
        </w:rPr>
        <w:t xml:space="preserve">.  In the Quebec portion of the LCB, </w:t>
      </w:r>
      <w:r w:rsidRPr="00CE7318">
        <w:rPr>
          <w:rFonts w:ascii="Times New Roman" w:hAnsi="Times New Roman" w:cs="Times New Roman"/>
        </w:rPr>
        <w:t xml:space="preserve">Jamieson et al. (2003) reported an estimated TP load in subsurface drainage from a corn field during snowmelt of 0.1 kg/ha, representing 37% of the total snowmelt P </w:t>
      </w:r>
      <w:proofErr w:type="gramStart"/>
      <w:r w:rsidRPr="00CE7318">
        <w:rPr>
          <w:rFonts w:ascii="Times New Roman" w:hAnsi="Times New Roman" w:cs="Times New Roman"/>
        </w:rPr>
        <w:t>load</w:t>
      </w:r>
      <w:proofErr w:type="gramEnd"/>
      <w:r w:rsidRPr="00CE7318">
        <w:rPr>
          <w:rFonts w:ascii="Times New Roman" w:hAnsi="Times New Roman" w:cs="Times New Roman"/>
        </w:rPr>
        <w:t xml:space="preserve"> from the field. Simard (2005) measured mean P loads exported from corn fields in the </w:t>
      </w:r>
      <w:proofErr w:type="spellStart"/>
      <w:r w:rsidRPr="00CE7318">
        <w:rPr>
          <w:rFonts w:ascii="Times New Roman" w:hAnsi="Times New Roman" w:cs="Times New Roman"/>
        </w:rPr>
        <w:t>Missisquoi</w:t>
      </w:r>
      <w:proofErr w:type="spellEnd"/>
      <w:r w:rsidRPr="00CE7318">
        <w:rPr>
          <w:rFonts w:ascii="Times New Roman" w:hAnsi="Times New Roman" w:cs="Times New Roman"/>
        </w:rPr>
        <w:t xml:space="preserve"> Bay watershed averaging 0.61 kg/ha/</w:t>
      </w:r>
      <w:proofErr w:type="spellStart"/>
      <w:proofErr w:type="gramStart"/>
      <w:r w:rsidRPr="00CE7318">
        <w:rPr>
          <w:rFonts w:ascii="Times New Roman" w:hAnsi="Times New Roman" w:cs="Times New Roman"/>
        </w:rPr>
        <w:t>yr</w:t>
      </w:r>
      <w:proofErr w:type="spellEnd"/>
      <w:r w:rsidRPr="00CE7318">
        <w:rPr>
          <w:rFonts w:ascii="Times New Roman" w:hAnsi="Times New Roman" w:cs="Times New Roman"/>
        </w:rPr>
        <w:t xml:space="preserve"> </w:t>
      </w:r>
      <w:r>
        <w:rPr>
          <w:rFonts w:ascii="Times New Roman" w:hAnsi="Times New Roman" w:cs="Times New Roman"/>
        </w:rPr>
        <w:t>.</w:t>
      </w:r>
      <w:proofErr w:type="gramEnd"/>
      <w:r w:rsidRPr="00CE7318">
        <w:rPr>
          <w:rFonts w:ascii="Times New Roman" w:hAnsi="Times New Roman" w:cs="Times New Roman"/>
        </w:rPr>
        <w:t xml:space="preserve"> Annual TP loads in tile drainage from one field varied from 0.69 </w:t>
      </w:r>
      <w:proofErr w:type="gramStart"/>
      <w:r w:rsidRPr="00CE7318">
        <w:rPr>
          <w:rFonts w:ascii="Times New Roman" w:hAnsi="Times New Roman" w:cs="Times New Roman"/>
        </w:rPr>
        <w:t>to 1.23 kg/ha/yr</w:t>
      </w:r>
      <w:proofErr w:type="gramEnd"/>
      <w:r w:rsidRPr="00CE7318">
        <w:rPr>
          <w:rFonts w:ascii="Times New Roman" w:hAnsi="Times New Roman" w:cs="Times New Roman"/>
        </w:rPr>
        <w:t>. In northern Quebec, Goulet et al. (2006) reported average loads from plots of: TP 0.51 kg/ha/</w:t>
      </w:r>
      <w:proofErr w:type="spellStart"/>
      <w:r w:rsidRPr="00CE7318">
        <w:rPr>
          <w:rFonts w:ascii="Times New Roman" w:hAnsi="Times New Roman" w:cs="Times New Roman"/>
        </w:rPr>
        <w:t>yr</w:t>
      </w:r>
      <w:proofErr w:type="spellEnd"/>
      <w:r w:rsidRPr="00CE7318">
        <w:rPr>
          <w:rFonts w:ascii="Times New Roman" w:hAnsi="Times New Roman" w:cs="Times New Roman"/>
        </w:rPr>
        <w:t xml:space="preserve">, TSP 0.08 </w:t>
      </w:r>
      <w:proofErr w:type="gramStart"/>
      <w:r w:rsidRPr="00CE7318">
        <w:rPr>
          <w:rFonts w:ascii="Times New Roman" w:hAnsi="Times New Roman" w:cs="Times New Roman"/>
        </w:rPr>
        <w:t>kg/ha/</w:t>
      </w:r>
      <w:proofErr w:type="spellStart"/>
      <w:r w:rsidRPr="00CE7318">
        <w:rPr>
          <w:rFonts w:ascii="Times New Roman" w:hAnsi="Times New Roman" w:cs="Times New Roman"/>
        </w:rPr>
        <w:t>yr</w:t>
      </w:r>
      <w:proofErr w:type="spellEnd"/>
      <w:r w:rsidRPr="00CE7318">
        <w:rPr>
          <w:rFonts w:ascii="Times New Roman" w:hAnsi="Times New Roman" w:cs="Times New Roman"/>
        </w:rPr>
        <w:t>,</w:t>
      </w:r>
      <w:proofErr w:type="gramEnd"/>
      <w:r w:rsidRPr="00CE7318">
        <w:rPr>
          <w:rFonts w:ascii="Times New Roman" w:hAnsi="Times New Roman" w:cs="Times New Roman"/>
        </w:rPr>
        <w:t xml:space="preserve"> and PP 0.44 kg/ha/</w:t>
      </w:r>
      <w:proofErr w:type="spellStart"/>
      <w:r w:rsidRPr="00CE7318">
        <w:rPr>
          <w:rFonts w:ascii="Times New Roman" w:hAnsi="Times New Roman" w:cs="Times New Roman"/>
        </w:rPr>
        <w:t>yr</w:t>
      </w:r>
      <w:proofErr w:type="spellEnd"/>
      <w:r w:rsidRPr="00CE7318">
        <w:rPr>
          <w:rFonts w:ascii="Times New Roman" w:hAnsi="Times New Roman" w:cs="Times New Roman"/>
        </w:rPr>
        <w:t xml:space="preserve">; annual TP loads from individual plots &gt;1.0 kg/ha were observed. These TP loads in </w:t>
      </w:r>
      <w:proofErr w:type="spellStart"/>
      <w:r w:rsidRPr="00CE7318">
        <w:rPr>
          <w:rFonts w:ascii="Times New Roman" w:hAnsi="Times New Roman" w:cs="Times New Roman"/>
        </w:rPr>
        <w:t>drainflow</w:t>
      </w:r>
      <w:proofErr w:type="spellEnd"/>
      <w:r w:rsidRPr="00CE7318">
        <w:rPr>
          <w:rFonts w:ascii="Times New Roman" w:hAnsi="Times New Roman" w:cs="Times New Roman"/>
        </w:rPr>
        <w:t xml:space="preserve"> represented 95% of all TP export from the plots.</w:t>
      </w:r>
    </w:p>
    <w:p w:rsidR="00536735" w:rsidRDefault="00536735" w:rsidP="00691592"/>
    <w:p w:rsidR="002F3416" w:rsidRDefault="002F3416" w:rsidP="00691592">
      <w:r>
        <w:t>JBW areal TP loads in tile drainage were also comparable to loads reported from Iowa, Ohio, and other Midwest states.</w:t>
      </w:r>
      <w:r w:rsidR="00897477">
        <w:t xml:space="preserve"> For example, King et al. (2014) reported annual TP loads of 0.28 – 0.92 kg/ha from Ohio corn/soybean fields. </w:t>
      </w:r>
    </w:p>
    <w:p w:rsidR="00897477" w:rsidRDefault="00897477" w:rsidP="00691592"/>
    <w:p w:rsidR="00897477" w:rsidRDefault="00897477" w:rsidP="00691592"/>
    <w:p w:rsidR="00691592" w:rsidRDefault="00691592"/>
    <w:p w:rsidR="00691592" w:rsidRDefault="00691592"/>
    <w:p w:rsidR="00EC375B" w:rsidRPr="00EC375B" w:rsidRDefault="00EC375B">
      <w:proofErr w:type="spellStart"/>
      <w:proofErr w:type="gramStart"/>
      <w:r w:rsidRPr="00EC375B">
        <w:t>Beauchemin</w:t>
      </w:r>
      <w:proofErr w:type="spellEnd"/>
      <w:r w:rsidRPr="00EC375B">
        <w:t xml:space="preserve">, S., R.R. Simard, and D. </w:t>
      </w:r>
      <w:proofErr w:type="spellStart"/>
      <w:r w:rsidRPr="00EC375B">
        <w:t>Cluis</w:t>
      </w:r>
      <w:proofErr w:type="spellEnd"/>
      <w:r w:rsidRPr="00EC375B">
        <w:t>.</w:t>
      </w:r>
      <w:proofErr w:type="gramEnd"/>
      <w:r w:rsidRPr="00EC375B">
        <w:t xml:space="preserve"> 1998. Forms and concentration of phosphorus in drainage water of twenty-seven tile-drained soils. </w:t>
      </w:r>
      <w:r w:rsidRPr="00EC375B">
        <w:rPr>
          <w:i/>
          <w:iCs/>
        </w:rPr>
        <w:t xml:space="preserve">J. Environ. Qual. </w:t>
      </w:r>
      <w:r w:rsidRPr="00EC375B">
        <w:t>27(3): 721-728.</w:t>
      </w:r>
    </w:p>
    <w:p w:rsidR="00EC375B" w:rsidRPr="00EC375B" w:rsidRDefault="00EC375B"/>
    <w:p w:rsidR="00EC375B" w:rsidRPr="00EC375B" w:rsidRDefault="00EC375B">
      <w:r w:rsidRPr="00EC375B">
        <w:t xml:space="preserve">Benoit, G.R., 1973. </w:t>
      </w:r>
      <w:proofErr w:type="gramStart"/>
      <w:r w:rsidRPr="00EC375B">
        <w:t>Effect of agricultural management of wet sloping soil on nitrate and phosphorus in surface and subsurface water.</w:t>
      </w:r>
      <w:proofErr w:type="gramEnd"/>
      <w:r w:rsidRPr="00EC375B">
        <w:t xml:space="preserve"> </w:t>
      </w:r>
      <w:r w:rsidRPr="00EC375B">
        <w:rPr>
          <w:i/>
          <w:iCs/>
        </w:rPr>
        <w:t>Water Res. Res</w:t>
      </w:r>
      <w:r w:rsidRPr="00EC375B">
        <w:t xml:space="preserve">. 9:1296–1303. </w:t>
      </w:r>
    </w:p>
    <w:p w:rsidR="00EC375B" w:rsidRPr="00EC375B" w:rsidRDefault="00EC375B"/>
    <w:p w:rsidR="00EC375B" w:rsidRPr="00EC375B" w:rsidRDefault="00EC375B">
      <w:proofErr w:type="gramStart"/>
      <w:r w:rsidRPr="00EC375B">
        <w:t xml:space="preserve">Enright, P. and </w:t>
      </w:r>
      <w:proofErr w:type="spellStart"/>
      <w:r w:rsidRPr="00EC375B">
        <w:t>Madramootoo</w:t>
      </w:r>
      <w:proofErr w:type="spellEnd"/>
      <w:r w:rsidRPr="00EC375B">
        <w:t>, C.A. 2004.</w:t>
      </w:r>
      <w:proofErr w:type="gramEnd"/>
      <w:r w:rsidRPr="00EC375B">
        <w:t xml:space="preserve"> Phosphorus losses in surface runoff and subsurface drainage waters on two agricultural fields in Quebec. Pp. 160-170 in </w:t>
      </w:r>
      <w:r w:rsidRPr="00EC375B">
        <w:rPr>
          <w:i/>
          <w:iCs/>
        </w:rPr>
        <w:t>Drainage VIII, 21-24 March 2004</w:t>
      </w:r>
      <w:r w:rsidRPr="00EC375B">
        <w:t>. Proc of the Eighth International Symposium, 21-24 March 2004 Sacramento, California USA, American Society of Agricultural and Biological Engineers, ASAE Publication Number 701P0304, ed. R. Cooke.</w:t>
      </w:r>
    </w:p>
    <w:p w:rsidR="00EC375B" w:rsidRPr="00EC375B" w:rsidRDefault="00EC375B"/>
    <w:p w:rsidR="00EC375B" w:rsidRPr="00EC375B" w:rsidRDefault="00EC375B">
      <w:proofErr w:type="spellStart"/>
      <w:proofErr w:type="gramStart"/>
      <w:r w:rsidRPr="00EC375B">
        <w:t>Geohring</w:t>
      </w:r>
      <w:proofErr w:type="spellEnd"/>
      <w:r w:rsidRPr="00EC375B">
        <w:t xml:space="preserve">, L.D., O.V. McHugh, M.T. Walter, T.S. </w:t>
      </w:r>
      <w:proofErr w:type="spellStart"/>
      <w:r w:rsidRPr="00EC375B">
        <w:t>Steenhuis</w:t>
      </w:r>
      <w:proofErr w:type="spellEnd"/>
      <w:r w:rsidRPr="00EC375B">
        <w:t>, M. S. Akhtar, and M.F. Walter.</w:t>
      </w:r>
      <w:proofErr w:type="gramEnd"/>
      <w:r w:rsidRPr="00EC375B">
        <w:t xml:space="preserve"> 2001. Phosphorus transport into subsurface drains by macropores after manure applications: implications for best manure management practices. </w:t>
      </w:r>
      <w:r w:rsidRPr="00EC375B">
        <w:rPr>
          <w:i/>
          <w:iCs/>
        </w:rPr>
        <w:t xml:space="preserve">Soil Sci. </w:t>
      </w:r>
      <w:r w:rsidRPr="00EC375B">
        <w:t>166(12):896-909</w:t>
      </w:r>
    </w:p>
    <w:p w:rsidR="00EC375B" w:rsidRPr="00EC375B" w:rsidRDefault="00EC375B"/>
    <w:p w:rsidR="00EC375B" w:rsidRPr="00EC375B" w:rsidRDefault="00EC375B">
      <w:proofErr w:type="gramStart"/>
      <w:r w:rsidRPr="00EC375B">
        <w:lastRenderedPageBreak/>
        <w:t xml:space="preserve">Goulet, M., J. </w:t>
      </w:r>
      <w:proofErr w:type="spellStart"/>
      <w:r w:rsidRPr="00EC375B">
        <w:t>Gallichand</w:t>
      </w:r>
      <w:proofErr w:type="spellEnd"/>
      <w:r w:rsidRPr="00EC375B">
        <w:t xml:space="preserve">, M. </w:t>
      </w:r>
      <w:proofErr w:type="spellStart"/>
      <w:r w:rsidRPr="00EC375B">
        <w:t>Duchemin</w:t>
      </w:r>
      <w:proofErr w:type="spellEnd"/>
      <w:r w:rsidRPr="00EC375B">
        <w:t>, and M. Giroux.</w:t>
      </w:r>
      <w:proofErr w:type="gramEnd"/>
      <w:r w:rsidRPr="00EC375B">
        <w:t xml:space="preserve"> 2006. Measured and computed phosphorus losses by runoff and subsurface drainage in eastern Canada. </w:t>
      </w:r>
      <w:r w:rsidRPr="00EC375B">
        <w:rPr>
          <w:i/>
          <w:iCs/>
        </w:rPr>
        <w:t xml:space="preserve">Appl. Eng. Agric. </w:t>
      </w:r>
      <w:r w:rsidRPr="00EC375B">
        <w:t>22(2):203-213.</w:t>
      </w:r>
    </w:p>
    <w:p w:rsidR="00EC375B" w:rsidRPr="00EC375B" w:rsidRDefault="00EC375B"/>
    <w:p w:rsidR="00EC375B" w:rsidRPr="00EC375B" w:rsidRDefault="00EC375B">
      <w:proofErr w:type="spellStart"/>
      <w:proofErr w:type="gramStart"/>
      <w:r w:rsidRPr="00EC375B">
        <w:t>Hergert</w:t>
      </w:r>
      <w:proofErr w:type="spellEnd"/>
      <w:r w:rsidRPr="00EC375B">
        <w:t xml:space="preserve">, G.W., S.D. </w:t>
      </w:r>
      <w:proofErr w:type="spellStart"/>
      <w:r w:rsidRPr="00EC375B">
        <w:t>Klausner</w:t>
      </w:r>
      <w:proofErr w:type="spellEnd"/>
      <w:r w:rsidRPr="00EC375B">
        <w:t xml:space="preserve">, D.R. </w:t>
      </w:r>
      <w:proofErr w:type="spellStart"/>
      <w:r w:rsidRPr="00EC375B">
        <w:t>Bouldin</w:t>
      </w:r>
      <w:proofErr w:type="spellEnd"/>
      <w:r w:rsidRPr="00EC375B">
        <w:t xml:space="preserve">, and P.J. </w:t>
      </w:r>
      <w:proofErr w:type="spellStart"/>
      <w:r w:rsidRPr="00EC375B">
        <w:t>Zwerman</w:t>
      </w:r>
      <w:proofErr w:type="spellEnd"/>
      <w:r w:rsidRPr="00EC375B">
        <w:t>.</w:t>
      </w:r>
      <w:proofErr w:type="gramEnd"/>
      <w:r w:rsidRPr="00EC375B">
        <w:t xml:space="preserve"> 1981. Effects of dairy manure on phosphorus concentrations and losses in tile effluent. </w:t>
      </w:r>
      <w:r w:rsidRPr="00EC375B">
        <w:rPr>
          <w:i/>
          <w:iCs/>
        </w:rPr>
        <w:t xml:space="preserve">J. Environ. Qual. </w:t>
      </w:r>
      <w:r w:rsidRPr="00EC375B">
        <w:t>10(3):345-349.</w:t>
      </w:r>
    </w:p>
    <w:p w:rsidR="00EC375B" w:rsidRPr="00897477" w:rsidRDefault="00EC375B"/>
    <w:p w:rsidR="00EC375B" w:rsidRPr="00897477" w:rsidRDefault="00EC375B">
      <w:proofErr w:type="gramStart"/>
      <w:r w:rsidRPr="00897477">
        <w:t xml:space="preserve">Jamieson, A., C.A. </w:t>
      </w:r>
      <w:proofErr w:type="spellStart"/>
      <w:r w:rsidRPr="00897477">
        <w:t>Madramootoo</w:t>
      </w:r>
      <w:proofErr w:type="spellEnd"/>
      <w:r w:rsidRPr="00897477">
        <w:t xml:space="preserve"> and P. </w:t>
      </w:r>
      <w:proofErr w:type="spellStart"/>
      <w:r w:rsidRPr="00897477">
        <w:t>Engright</w:t>
      </w:r>
      <w:proofErr w:type="spellEnd"/>
      <w:r w:rsidRPr="00897477">
        <w:t>.</w:t>
      </w:r>
      <w:proofErr w:type="gramEnd"/>
      <w:r w:rsidRPr="00897477">
        <w:t xml:space="preserve"> 2003. Phosphorus losses in surface and subsurface runoff from a snowmelt event on an agricultural field in Quebec. </w:t>
      </w:r>
      <w:proofErr w:type="gramStart"/>
      <w:r w:rsidRPr="00897477">
        <w:rPr>
          <w:i/>
          <w:iCs/>
        </w:rPr>
        <w:t xml:space="preserve">Can. </w:t>
      </w:r>
      <w:proofErr w:type="spellStart"/>
      <w:r w:rsidRPr="00897477">
        <w:rPr>
          <w:i/>
          <w:iCs/>
        </w:rPr>
        <w:t>Biosys</w:t>
      </w:r>
      <w:proofErr w:type="spellEnd"/>
      <w:r w:rsidRPr="00897477">
        <w:rPr>
          <w:i/>
          <w:iCs/>
        </w:rPr>
        <w:t>.</w:t>
      </w:r>
      <w:proofErr w:type="gramEnd"/>
      <w:r w:rsidRPr="00897477">
        <w:rPr>
          <w:i/>
          <w:iCs/>
        </w:rPr>
        <w:t xml:space="preserve"> Eng. </w:t>
      </w:r>
      <w:r w:rsidRPr="00897477">
        <w:t>45:1.1-1.7.</w:t>
      </w:r>
    </w:p>
    <w:p w:rsidR="00EC375B" w:rsidRPr="00897477" w:rsidRDefault="00EC375B"/>
    <w:p w:rsidR="00897477" w:rsidRPr="00897477" w:rsidRDefault="00897477">
      <w:proofErr w:type="gramStart"/>
      <w:r w:rsidRPr="00897477">
        <w:t xml:space="preserve">King, K.W., M.R. Williams, and N.R. </w:t>
      </w:r>
      <w:proofErr w:type="spellStart"/>
      <w:r w:rsidRPr="00897477">
        <w:t>Fausey</w:t>
      </w:r>
      <w:proofErr w:type="spellEnd"/>
      <w:r w:rsidRPr="00897477">
        <w:t>.</w:t>
      </w:r>
      <w:proofErr w:type="gramEnd"/>
      <w:r w:rsidRPr="00897477">
        <w:t xml:space="preserve"> 2014. Contributions of systematic tile drainage to watershed-scale phosphorus transport. </w:t>
      </w:r>
      <w:r w:rsidRPr="00897477">
        <w:rPr>
          <w:i/>
          <w:iCs/>
        </w:rPr>
        <w:t xml:space="preserve">J. Environ. Qual. </w:t>
      </w:r>
      <w:r w:rsidRPr="00897477">
        <w:t>44(2):486-494.</w:t>
      </w:r>
    </w:p>
    <w:p w:rsidR="00897477" w:rsidRPr="00897477" w:rsidRDefault="00897477"/>
    <w:p w:rsidR="00EC375B" w:rsidRPr="00EC375B" w:rsidRDefault="00EC375B">
      <w:proofErr w:type="spellStart"/>
      <w:r w:rsidRPr="00897477">
        <w:t>Klaiber</w:t>
      </w:r>
      <w:proofErr w:type="spellEnd"/>
      <w:r w:rsidRPr="00897477">
        <w:t xml:space="preserve">, L. 2015. </w:t>
      </w:r>
      <w:proofErr w:type="gramStart"/>
      <w:r w:rsidRPr="00897477">
        <w:t>Edge-of-field Water and Phosphorus Losses in Surface and Subsurface Agricultural</w:t>
      </w:r>
      <w:r w:rsidRPr="00EC375B">
        <w:t xml:space="preserve"> Runoff.</w:t>
      </w:r>
      <w:proofErr w:type="gramEnd"/>
      <w:r w:rsidRPr="00EC375B">
        <w:t xml:space="preserve"> M.S. Thesis. </w:t>
      </w:r>
      <w:proofErr w:type="gramStart"/>
      <w:r w:rsidRPr="00EC375B">
        <w:t>Plant and Soil Science Department, University of Vermont, Burlington, VT.</w:t>
      </w:r>
      <w:proofErr w:type="gramEnd"/>
    </w:p>
    <w:p w:rsidR="00EC375B" w:rsidRPr="00EC375B" w:rsidRDefault="00EC375B"/>
    <w:p w:rsidR="00EC375B" w:rsidRPr="00EC375B" w:rsidRDefault="00EC375B">
      <w:r w:rsidRPr="00EC375B">
        <w:t xml:space="preserve">Miller, M.H. 1979. Contribution of nitrogen and phosphorus to subsurface drainage water from intensively cropped mineral and organic soils in Ontario. </w:t>
      </w:r>
      <w:r w:rsidRPr="00EC375B">
        <w:rPr>
          <w:i/>
          <w:iCs/>
        </w:rPr>
        <w:t xml:space="preserve">J. Environ. Qual. </w:t>
      </w:r>
      <w:r w:rsidRPr="00EC375B">
        <w:t>8(1):42–48.</w:t>
      </w:r>
    </w:p>
    <w:p w:rsidR="00EC375B" w:rsidRPr="00EC375B" w:rsidRDefault="00EC375B"/>
    <w:p w:rsidR="00EC375B" w:rsidRPr="00EC375B" w:rsidRDefault="00EC375B">
      <w:proofErr w:type="gramStart"/>
      <w:r w:rsidRPr="00EC375B">
        <w:t xml:space="preserve">Scott, C.A., L.D. </w:t>
      </w:r>
      <w:proofErr w:type="spellStart"/>
      <w:r w:rsidRPr="00EC375B">
        <w:t>Geohring</w:t>
      </w:r>
      <w:proofErr w:type="spellEnd"/>
      <w:r w:rsidRPr="00EC375B">
        <w:t>, and M.F. Walter.</w:t>
      </w:r>
      <w:proofErr w:type="gramEnd"/>
      <w:r w:rsidRPr="00EC375B">
        <w:t xml:space="preserve"> 1998. Water quality impacts of tile drains in shallow, sloping, structured soils as affected by manure application. </w:t>
      </w:r>
      <w:r w:rsidRPr="00EC375B">
        <w:rPr>
          <w:i/>
          <w:iCs/>
        </w:rPr>
        <w:t xml:space="preserve">Appl. Eng.in Agric. </w:t>
      </w:r>
      <w:r w:rsidRPr="00EC375B">
        <w:t xml:space="preserve">14(6):599-603. </w:t>
      </w:r>
    </w:p>
    <w:p w:rsidR="00EC375B" w:rsidRPr="00EC375B" w:rsidRDefault="00EC375B" w:rsidP="00EC375B"/>
    <w:p w:rsidR="00EC375B" w:rsidRPr="00EC375B" w:rsidRDefault="00EC375B" w:rsidP="00EC375B">
      <w:r w:rsidRPr="00EC375B">
        <w:t xml:space="preserve">Simard, G. 2005. Monitoring and simulation of nutrient transport from agricultural fields. </w:t>
      </w:r>
      <w:proofErr w:type="gramStart"/>
      <w:r w:rsidRPr="00EC375B">
        <w:t>Thesis</w:t>
      </w:r>
      <w:r w:rsidRPr="00EC375B">
        <w:rPr>
          <w:b/>
          <w:bCs/>
        </w:rPr>
        <w:t xml:space="preserve">, </w:t>
      </w:r>
      <w:r w:rsidRPr="00EC375B">
        <w:t xml:space="preserve">Department of </w:t>
      </w:r>
      <w:proofErr w:type="spellStart"/>
      <w:r w:rsidRPr="00EC375B">
        <w:t>Bioresource</w:t>
      </w:r>
      <w:proofErr w:type="spellEnd"/>
      <w:r w:rsidRPr="00EC375B">
        <w:t xml:space="preserve"> Engineering Macdonald Campus, McGill University, Montréal, Québec.</w:t>
      </w:r>
      <w:proofErr w:type="gramEnd"/>
    </w:p>
    <w:p w:rsidR="00EC375B" w:rsidRPr="00EC375B" w:rsidRDefault="00EC375B"/>
    <w:p w:rsidR="00EC375B" w:rsidRPr="00EC375B" w:rsidRDefault="00EC375B">
      <w:proofErr w:type="gramStart"/>
      <w:r w:rsidRPr="00EC375B">
        <w:t>Young, E. 2015.</w:t>
      </w:r>
      <w:proofErr w:type="gramEnd"/>
      <w:r w:rsidRPr="00EC375B">
        <w:t xml:space="preserve"> </w:t>
      </w:r>
      <w:proofErr w:type="gramStart"/>
      <w:r w:rsidRPr="00EC375B">
        <w:t>Assessing Agronomic and Environmental Aspects of Tile Drainage in the Northern New York Region.</w:t>
      </w:r>
      <w:proofErr w:type="gramEnd"/>
      <w:r w:rsidRPr="00EC375B">
        <w:t xml:space="preserve"> </w:t>
      </w:r>
      <w:proofErr w:type="gramStart"/>
      <w:r w:rsidRPr="00EC375B">
        <w:t>Northern NY Agricultural Development Program, 2014-2015 Project Report.</w:t>
      </w:r>
      <w:proofErr w:type="gramEnd"/>
      <w:r w:rsidRPr="00EC375B">
        <w:t xml:space="preserve"> Miner Institute, </w:t>
      </w:r>
      <w:proofErr w:type="spellStart"/>
      <w:r w:rsidRPr="00EC375B">
        <w:t>Chazy</w:t>
      </w:r>
      <w:proofErr w:type="spellEnd"/>
      <w:r w:rsidRPr="00EC375B">
        <w:t>, NY.</w:t>
      </w:r>
    </w:p>
    <w:sectPr w:rsidR="00EC375B" w:rsidRPr="00EC3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ElegaGarmnd BT">
    <w:altName w:val="ElegaGarmnd B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formatting="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BC"/>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0A"/>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6F6"/>
    <w:rsid w:val="00145926"/>
    <w:rsid w:val="00145BD2"/>
    <w:rsid w:val="00145C74"/>
    <w:rsid w:val="00145D6B"/>
    <w:rsid w:val="00145F8D"/>
    <w:rsid w:val="00147F35"/>
    <w:rsid w:val="00150372"/>
    <w:rsid w:val="00150CF8"/>
    <w:rsid w:val="00151148"/>
    <w:rsid w:val="00151778"/>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391B"/>
    <w:rsid w:val="00214568"/>
    <w:rsid w:val="002148C7"/>
    <w:rsid w:val="00214C0B"/>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1CF5"/>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1E31"/>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416"/>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97EBC"/>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735"/>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6DD6"/>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FB6"/>
    <w:rsid w:val="005D7FCD"/>
    <w:rsid w:val="005E01E2"/>
    <w:rsid w:val="005E07B8"/>
    <w:rsid w:val="005E0D4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592"/>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34"/>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477"/>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3F2A"/>
    <w:rsid w:val="00904A3B"/>
    <w:rsid w:val="00904FD4"/>
    <w:rsid w:val="0090523B"/>
    <w:rsid w:val="0090542C"/>
    <w:rsid w:val="00905856"/>
    <w:rsid w:val="00905907"/>
    <w:rsid w:val="00905DC5"/>
    <w:rsid w:val="00906415"/>
    <w:rsid w:val="0090648F"/>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A62"/>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18"/>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80E"/>
    <w:rsid w:val="00D53A73"/>
    <w:rsid w:val="00D53B96"/>
    <w:rsid w:val="00D53C3B"/>
    <w:rsid w:val="00D54026"/>
    <w:rsid w:val="00D5430B"/>
    <w:rsid w:val="00D54C89"/>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6C46"/>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943"/>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75B"/>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7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1592"/>
    <w:pPr>
      <w:autoSpaceDE w:val="0"/>
      <w:autoSpaceDN w:val="0"/>
      <w:adjustRightInd w:val="0"/>
    </w:pPr>
    <w:rPr>
      <w:rFonts w:ascii="ElegaGarmnd BT" w:hAnsi="ElegaGarmnd BT" w:cs="ElegaGarmnd B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7E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1592"/>
    <w:pPr>
      <w:autoSpaceDE w:val="0"/>
      <w:autoSpaceDN w:val="0"/>
      <w:adjustRightInd w:val="0"/>
    </w:pPr>
    <w:rPr>
      <w:rFonts w:ascii="ElegaGarmnd BT" w:hAnsi="ElegaGarmnd BT" w:cs="ElegaGarmnd B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Don Meals</cp:lastModifiedBy>
  <cp:revision>12</cp:revision>
  <dcterms:created xsi:type="dcterms:W3CDTF">2018-09-10T13:18:00Z</dcterms:created>
  <dcterms:modified xsi:type="dcterms:W3CDTF">2018-09-10T18:10:00Z</dcterms:modified>
</cp:coreProperties>
</file>